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88"/>
          <w:tab w:val="left" w:pos="4050"/>
        </w:tabs>
        <w:ind w:left="288" w:firstLine="0"/>
        <w:jc w:val="both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before="0" w:line="360" w:lineRule="auto"/>
        <w:ind w:left="289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TOMADA DE PREÇO SEPLAG/CAF Nº 003/ 2020</w:t>
      </w:r>
    </w:p>
    <w:p w:rsidR="00000000" w:rsidDel="00000000" w:rsidP="00000000" w:rsidRDefault="00000000" w:rsidRPr="00000000" w14:paraId="0000000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9" w:firstLine="0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26"/>
        </w:tabs>
        <w:spacing w:line="276" w:lineRule="auto"/>
        <w:jc w:val="both"/>
        <w:rPr>
          <w:rFonts w:ascii="Arial Narrow" w:cs="Arial Narrow" w:eastAsia="Arial Narrow" w:hAnsi="Arial Narrow"/>
          <w:sz w:val="30"/>
          <w:szCs w:val="3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               A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COMISSÃO ESPECIAL DE LICITAÇÃO SEPLAG/UGP/CAF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comunica o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ADIAMENTO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SINE DIE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da licitação na modalidade de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Tomada de Preço sob o nº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003/2020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, do tipo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Menor Preço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, objetivando a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contratação de empresa para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execução de serviços de revitalização da trilha do Parque da Cidade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, localizado na Região Oceânica de Niterói – RJ, que seria realizada, no dia 30 de abril de 2020, às 15:00h</w:t>
      </w: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no Auditório da Defesa Civil localizado na Rua Coronel Gomes Machado, 258 – Centro – Niterói – RJ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sz w:val="30"/>
          <w:szCs w:val="3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vertAlign w:val="baseline"/>
          <w:rtl w:val="0"/>
        </w:rPr>
        <w:t xml:space="preserve">Niterói, 22 de abril de 2020</w:t>
      </w:r>
    </w:p>
    <w:p w:rsidR="00000000" w:rsidDel="00000000" w:rsidP="00000000" w:rsidRDefault="00000000" w:rsidRPr="00000000" w14:paraId="0000000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9" w:firstLine="0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ind w:left="289" w:firstLine="0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before="0" w:line="240" w:lineRule="auto"/>
        <w:ind w:left="289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LINCOLN THOMAZ DA SILVEIRA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288" w:firstLine="0"/>
        <w:jc w:val="center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PRESIDENTE DA COMISSÃO ESPECIAL DE LICITAÇÃO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7"/>
      <w:pgMar w:bottom="1134" w:top="1134" w:left="1843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770255</wp:posOffset>
          </wp:positionH>
          <wp:positionV relativeFrom="paragraph">
            <wp:posOffset>29210</wp:posOffset>
          </wp:positionV>
          <wp:extent cx="4029710" cy="5581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2971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CNPJ: 28.521.748/0001-59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before="0" w:line="360" w:lineRule="auto"/>
      <w:ind w:left="289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COMISSÃO ESPECIAL DE LICITAÇÃO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